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39" w:rsidRDefault="003A5520">
      <w:pPr>
        <w:rPr>
          <w:rFonts w:ascii="A_Bodoni" w:hAnsi="A_Bodoni"/>
          <w:color w:val="E36C0A" w:themeColor="accent6" w:themeShade="BF"/>
          <w:sz w:val="40"/>
          <w:szCs w:val="40"/>
          <w:lang w:val="mn-MN"/>
        </w:rPr>
      </w:pPr>
      <w:r>
        <w:rPr>
          <w:rFonts w:ascii="A_Bodoni" w:hAnsi="A_Bodoni"/>
          <w:color w:val="E36C0A" w:themeColor="accent6" w:themeShade="BF"/>
          <w:sz w:val="40"/>
          <w:szCs w:val="40"/>
          <w:lang w:val="mn-MN"/>
        </w:rPr>
        <w:t xml:space="preserve">  БАГА НАСНЫ ХҮҮХДИЙН АВЬЯАСЫГ НЭЭН ХӨГЖҮҮЛЭХ НЬ</w:t>
      </w:r>
    </w:p>
    <w:p w:rsidR="003A5520" w:rsidRDefault="003A5520" w:rsidP="00B72884">
      <w:pPr>
        <w:jc w:val="both"/>
        <w:rPr>
          <w:rFonts w:ascii="A_Bodoni" w:hAnsi="A_Bodoni"/>
          <w:color w:val="17365D" w:themeColor="text2" w:themeShade="BF"/>
          <w:sz w:val="40"/>
          <w:szCs w:val="40"/>
          <w:lang w:val="mn-MN"/>
        </w:rPr>
      </w:pP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>Авьяас гэж юу вэ? төрөлхийн хүсэл дуршил,аливаа юмыг бүрэн хийж чадах чадвар.</w:t>
      </w:r>
    </w:p>
    <w:p w:rsidR="003A5520" w:rsidRDefault="003A5520" w:rsidP="00B72884">
      <w:pPr>
        <w:jc w:val="both"/>
        <w:rPr>
          <w:rFonts w:ascii="A_Bodoni" w:hAnsi="A_Bodoni"/>
          <w:color w:val="17365D" w:themeColor="text2" w:themeShade="BF"/>
          <w:sz w:val="40"/>
          <w:szCs w:val="40"/>
          <w:lang w:val="mn-MN"/>
        </w:rPr>
      </w:pP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 xml:space="preserve"> 2012-2016 онд Монгол улсын Засгийн газраас “Зөв монгол хүүхэд” хөтөлбөр хэрэгжүүлсэн. Энэ нь “Авьяас”,”Ном”, “Багшийн хөгжил” дэд хөтөлбөртэй</w:t>
      </w:r>
      <w:r w:rsidR="00FD6693">
        <w:rPr>
          <w:rFonts w:ascii="A_Bodoni" w:hAnsi="A_Bodoni"/>
          <w:color w:val="17365D" w:themeColor="text2" w:themeShade="BF"/>
          <w:sz w:val="40"/>
          <w:szCs w:val="40"/>
          <w:lang w:val="mn-MN"/>
        </w:rPr>
        <w:t>.</w:t>
      </w:r>
    </w:p>
    <w:p w:rsidR="00FD6693" w:rsidRDefault="00FD6693" w:rsidP="00B72884">
      <w:pPr>
        <w:jc w:val="both"/>
        <w:rPr>
          <w:rFonts w:ascii="A_Bodoni" w:hAnsi="A_Bodoni"/>
          <w:color w:val="17365D" w:themeColor="text2" w:themeShade="BF"/>
          <w:sz w:val="40"/>
          <w:szCs w:val="40"/>
          <w:lang w:val="mn-MN"/>
        </w:rPr>
      </w:pP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 xml:space="preserve"> </w:t>
      </w:r>
      <w:r w:rsidRPr="00FD6693">
        <w:rPr>
          <w:rFonts w:ascii="A_Bodoni" w:hAnsi="A_Bodoni"/>
          <w:color w:val="00B0F0"/>
          <w:sz w:val="40"/>
          <w:szCs w:val="40"/>
          <w:lang w:val="mn-MN"/>
        </w:rPr>
        <w:t>АВЬЯАС ХӨТӨЛБӨР</w:t>
      </w: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>...Хүүхэд бүхэнд өөртөө болон ирээдүйдээ итгэх итгэлийг төлөвүүлэх,</w:t>
      </w:r>
      <w:r w:rsidR="000C035D">
        <w:rPr>
          <w:rFonts w:ascii="A_Bodoni" w:hAnsi="A_Bodoni"/>
          <w:color w:val="17365D" w:themeColor="text2" w:themeShade="BF"/>
          <w:sz w:val="40"/>
          <w:szCs w:val="40"/>
          <w:lang w:val="mn-MN"/>
        </w:rPr>
        <w:t xml:space="preserve"> </w:t>
      </w: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>амьдралын сайн сайханд тэмүүлэх сэдэл төрүүлэх</w:t>
      </w:r>
      <w:r w:rsidR="009A2883">
        <w:rPr>
          <w:rFonts w:ascii="A_Bodoni" w:hAnsi="A_Bodoni"/>
          <w:color w:val="17365D" w:themeColor="text2" w:themeShade="BF"/>
          <w:sz w:val="40"/>
          <w:szCs w:val="40"/>
          <w:lang w:val="mn-MN"/>
        </w:rPr>
        <w:t>, цагийг үр бүтээлтэй өн</w:t>
      </w: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>г</w:t>
      </w:r>
      <w:r w:rsidR="009A2883">
        <w:rPr>
          <w:rFonts w:ascii="A_Bodoni" w:hAnsi="A_Bodoni"/>
          <w:color w:val="17365D" w:themeColor="text2" w:themeShade="BF"/>
          <w:sz w:val="40"/>
          <w:szCs w:val="40"/>
          <w:lang w:val="mn-MN"/>
        </w:rPr>
        <w:t>ө</w:t>
      </w: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>рүүлэн</w:t>
      </w:r>
      <w:r w:rsidR="001A5069">
        <w:rPr>
          <w:rFonts w:ascii="A_Bodoni" w:hAnsi="A_Bodoni"/>
          <w:color w:val="17365D" w:themeColor="text2" w:themeShade="BF"/>
          <w:sz w:val="40"/>
          <w:szCs w:val="40"/>
          <w:lang w:val="mn-MN"/>
        </w:rPr>
        <w:t xml:space="preserve"> өөрийгөө хөгжүүлэх боломжий</w:t>
      </w: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>г тэгш олгох нь тулгамдсан асуудал?</w:t>
      </w:r>
    </w:p>
    <w:p w:rsidR="00FD6693" w:rsidRDefault="00FD6693" w:rsidP="00B72884">
      <w:pPr>
        <w:jc w:val="both"/>
        <w:rPr>
          <w:rFonts w:ascii="A_Bodoni" w:hAnsi="A_Bodoni"/>
          <w:color w:val="17365D" w:themeColor="text2" w:themeShade="BF"/>
          <w:sz w:val="40"/>
          <w:szCs w:val="40"/>
        </w:rPr>
      </w:pP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 xml:space="preserve">     Иймд хүүхэд бүрийн авьяас чадварт нь тулгуурлан хөгжүүлэх үйл ажиллагааг олон нийтийн оролцоо, шинжлэх ухааны үндэстэйгээр зохион байгуулах, үндэсний хэмжээнд олон салбарын дэмжлэгтэйгээр хүүхдийн хөгжлийн бодлогыг тодорхойлон хөгжүүлэх шаардлагатай байна...</w:t>
      </w:r>
    </w:p>
    <w:p w:rsidR="007D516D" w:rsidRDefault="007D516D" w:rsidP="007D516D">
      <w:pPr>
        <w:pStyle w:val="ListParagraph"/>
        <w:numPr>
          <w:ilvl w:val="0"/>
          <w:numId w:val="1"/>
        </w:numPr>
        <w:jc w:val="both"/>
        <w:rPr>
          <w:rFonts w:ascii="A_Bodoni" w:hAnsi="A_Bodoni"/>
          <w:color w:val="17365D" w:themeColor="text2" w:themeShade="BF"/>
          <w:sz w:val="40"/>
          <w:szCs w:val="40"/>
          <w:lang w:val="mn-MN"/>
        </w:rPr>
      </w:pP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>100 буудалт даам</w:t>
      </w:r>
    </w:p>
    <w:p w:rsidR="007D516D" w:rsidRDefault="007D516D" w:rsidP="007D516D">
      <w:pPr>
        <w:pStyle w:val="ListParagraph"/>
        <w:numPr>
          <w:ilvl w:val="0"/>
          <w:numId w:val="1"/>
        </w:numPr>
        <w:jc w:val="both"/>
        <w:rPr>
          <w:rFonts w:ascii="A_Bodoni" w:hAnsi="A_Bodoni"/>
          <w:color w:val="17365D" w:themeColor="text2" w:themeShade="BF"/>
          <w:sz w:val="40"/>
          <w:szCs w:val="40"/>
          <w:lang w:val="mn-MN"/>
        </w:rPr>
      </w:pP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>Дугуйлангаар</w:t>
      </w:r>
    </w:p>
    <w:p w:rsidR="00343C02" w:rsidRPr="001C0B76" w:rsidRDefault="007D516D" w:rsidP="00B72884">
      <w:pPr>
        <w:pStyle w:val="ListParagraph"/>
        <w:numPr>
          <w:ilvl w:val="0"/>
          <w:numId w:val="1"/>
        </w:numPr>
        <w:jc w:val="both"/>
        <w:rPr>
          <w:rFonts w:ascii="A_Bodoni" w:hAnsi="A_Bodoni"/>
          <w:color w:val="17365D" w:themeColor="text2" w:themeShade="BF"/>
          <w:sz w:val="40"/>
          <w:szCs w:val="40"/>
          <w:lang w:val="mn-MN"/>
        </w:rPr>
      </w:pPr>
      <w:r>
        <w:rPr>
          <w:rFonts w:ascii="A_Bodoni" w:hAnsi="A_Bodoni"/>
          <w:color w:val="17365D" w:themeColor="text2" w:themeShade="BF"/>
          <w:sz w:val="40"/>
          <w:szCs w:val="40"/>
          <w:lang w:val="mn-MN"/>
        </w:rPr>
        <w:t>бусад</w:t>
      </w:r>
    </w:p>
    <w:p w:rsidR="00343C02" w:rsidRDefault="00343C02" w:rsidP="00343C02">
      <w:pPr>
        <w:jc w:val="center"/>
        <w:rPr>
          <w:rFonts w:ascii="Arial" w:hAnsi="Arial" w:cs="Arial"/>
          <w:b/>
          <w:noProof/>
          <w:sz w:val="24"/>
          <w:szCs w:val="24"/>
          <w:lang w:val="mn-MN"/>
        </w:rPr>
      </w:pPr>
      <w:r w:rsidRPr="00343C02">
        <w:rPr>
          <w:rFonts w:ascii="Arial" w:hAnsi="Arial" w:cs="Arial"/>
          <w:b/>
          <w:noProof/>
          <w:sz w:val="24"/>
          <w:szCs w:val="24"/>
          <w:lang w:val="mn-MN"/>
        </w:rPr>
        <w:lastRenderedPageBreak/>
        <w:t>“Жаргалан”  цэцэрлэгийн хүүхдүүдийн Авъяас, нэгтгэл</w:t>
      </w:r>
    </w:p>
    <w:p w:rsidR="001C0B76" w:rsidRPr="00343C02" w:rsidRDefault="001C0B76" w:rsidP="00343C02">
      <w:pPr>
        <w:jc w:val="center"/>
        <w:rPr>
          <w:rFonts w:ascii="Arial" w:hAnsi="Arial" w:cs="Arial"/>
          <w:b/>
          <w:noProof/>
          <w:sz w:val="24"/>
          <w:szCs w:val="24"/>
          <w:lang w:val="mn-MN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2017-2018 он</w:t>
      </w:r>
    </w:p>
    <w:p w:rsidR="00343C02" w:rsidRPr="00343C02" w:rsidRDefault="00343C02" w:rsidP="00343C02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bookmarkStart w:id="0" w:name="_GoBack"/>
      <w:r w:rsidRPr="00343C0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A74E58" wp14:editId="667531BA">
            <wp:extent cx="5838825" cy="34861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343C02" w:rsidRPr="00343C02" w:rsidRDefault="00343C02" w:rsidP="00343C02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343C02" w:rsidRPr="00343C02" w:rsidRDefault="00343C02" w:rsidP="00343C02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43C02">
        <w:rPr>
          <w:rFonts w:ascii="Arial" w:hAnsi="Arial" w:cs="Arial"/>
          <w:sz w:val="24"/>
          <w:szCs w:val="24"/>
          <w:lang w:val="mn-MN"/>
        </w:rPr>
        <w:t xml:space="preserve">Дүгнэлт </w:t>
      </w:r>
    </w:p>
    <w:p w:rsidR="00343C02" w:rsidRPr="00343C02" w:rsidRDefault="00343C02" w:rsidP="00343C0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 w:rsidRPr="00343C02">
        <w:rPr>
          <w:rFonts w:ascii="Arial" w:hAnsi="Arial" w:cs="Arial"/>
          <w:sz w:val="24"/>
          <w:szCs w:val="24"/>
          <w:lang w:val="mn-MN"/>
        </w:rPr>
        <w:t>Жаргал</w:t>
      </w:r>
      <w:r w:rsidR="00995CAD">
        <w:rPr>
          <w:rFonts w:ascii="Arial" w:hAnsi="Arial" w:cs="Arial"/>
          <w:sz w:val="24"/>
          <w:szCs w:val="24"/>
          <w:lang w:val="mn-MN"/>
        </w:rPr>
        <w:t>ан хүүхдийн цэцэрлэг нь нийт 15</w:t>
      </w:r>
      <w:r w:rsidR="00995CAD">
        <w:rPr>
          <w:rFonts w:ascii="Arial" w:hAnsi="Arial" w:cs="Arial"/>
          <w:sz w:val="24"/>
          <w:szCs w:val="24"/>
        </w:rPr>
        <w:t>3</w:t>
      </w:r>
      <w:r w:rsidRPr="00343C02">
        <w:rPr>
          <w:rFonts w:ascii="Arial" w:hAnsi="Arial" w:cs="Arial"/>
          <w:sz w:val="24"/>
          <w:szCs w:val="24"/>
          <w:lang w:val="mn-MN"/>
        </w:rPr>
        <w:t xml:space="preserve"> хүүхэдтэй. Багш  Б.Өлзий зургийн дугуйлан, П.Уранчимэг 100 буудалт даамын дугуйлан, Б.Баттогтох  шүлгийн дугуйлан хичээллүүлж хүүхдүүдийнхээ авъяасыг дэмжиж  ажилладаг.     Мөн хагас болон бүтэн жилээр хүүхдүүдийнхээ сурсан мэдсэн</w:t>
      </w:r>
      <w:r w:rsidRPr="00343C02">
        <w:rPr>
          <w:rFonts w:ascii="Arial" w:hAnsi="Arial" w:cs="Arial"/>
          <w:sz w:val="24"/>
          <w:szCs w:val="24"/>
        </w:rPr>
        <w:t xml:space="preserve"> </w:t>
      </w:r>
      <w:r w:rsidRPr="00343C02">
        <w:rPr>
          <w:rFonts w:ascii="Arial" w:hAnsi="Arial" w:cs="Arial"/>
          <w:sz w:val="24"/>
          <w:szCs w:val="24"/>
          <w:lang w:val="mn-MN"/>
        </w:rPr>
        <w:t xml:space="preserve">зүйлсийг эцэг эхчүүддээ нээлттэй өдөрдлөгөөр тайлагнаж амжилттай сурсан авъяаслаг багачуудаа шагнаж урамшуулдаг. Багш бүр гараа болон барианы үнэлгээ хийж ахиц амжилтыг тооцож ажилладаг. </w:t>
      </w:r>
    </w:p>
    <w:p w:rsidR="00343C02" w:rsidRPr="00343C02" w:rsidRDefault="00343C02" w:rsidP="00343C02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43C02" w:rsidRDefault="00343C02" w:rsidP="00B72884">
      <w:pPr>
        <w:jc w:val="both"/>
        <w:rPr>
          <w:rFonts w:ascii="A_Bodoni" w:hAnsi="A_Bodoni"/>
          <w:color w:val="17365D" w:themeColor="text2" w:themeShade="BF"/>
          <w:sz w:val="40"/>
          <w:szCs w:val="40"/>
        </w:rPr>
      </w:pPr>
    </w:p>
    <w:p w:rsidR="00343C02" w:rsidRDefault="00343C02" w:rsidP="00B72884">
      <w:pPr>
        <w:jc w:val="both"/>
        <w:rPr>
          <w:rFonts w:ascii="A_Bodoni" w:hAnsi="A_Bodoni"/>
          <w:color w:val="17365D" w:themeColor="text2" w:themeShade="BF"/>
          <w:sz w:val="40"/>
          <w:szCs w:val="40"/>
        </w:rPr>
      </w:pPr>
    </w:p>
    <w:p w:rsidR="00343C02" w:rsidRPr="00343C02" w:rsidRDefault="00343C02" w:rsidP="00B72884">
      <w:pPr>
        <w:jc w:val="both"/>
        <w:rPr>
          <w:rFonts w:ascii="A_Bodoni" w:hAnsi="A_Bodoni"/>
          <w:color w:val="17365D" w:themeColor="text2" w:themeShade="BF"/>
          <w:sz w:val="40"/>
          <w:szCs w:val="40"/>
        </w:rPr>
      </w:pPr>
    </w:p>
    <w:sectPr w:rsidR="00343C02" w:rsidRPr="00343C02" w:rsidSect="007D516D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odoni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96003"/>
    <w:multiLevelType w:val="hybridMultilevel"/>
    <w:tmpl w:val="F592A7E2"/>
    <w:lvl w:ilvl="0" w:tplc="6BF2BA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20"/>
    <w:rsid w:val="000C035D"/>
    <w:rsid w:val="001A5069"/>
    <w:rsid w:val="001C0B76"/>
    <w:rsid w:val="00343C02"/>
    <w:rsid w:val="00385417"/>
    <w:rsid w:val="003A5520"/>
    <w:rsid w:val="004B400A"/>
    <w:rsid w:val="007D516D"/>
    <w:rsid w:val="00995CAD"/>
    <w:rsid w:val="009A2883"/>
    <w:rsid w:val="00B72884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2F686-8ED8-4E54-A927-8C2F9054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Гарааны үнэлгээ 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Дуулах </c:v>
                </c:pt>
                <c:pt idx="1">
                  <c:v>Бүжиглэх </c:v>
                </c:pt>
                <c:pt idx="2">
                  <c:v>Жүжиглэх </c:v>
                </c:pt>
                <c:pt idx="3">
                  <c:v>Зурах </c:v>
                </c:pt>
                <c:pt idx="4">
                  <c:v>Хөгжимдөх</c:v>
                </c:pt>
                <c:pt idx="5">
                  <c:v>Даам </c:v>
                </c:pt>
                <c:pt idx="6">
                  <c:v>Сэтгэн бодох 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55</c:v>
                </c:pt>
                <c:pt idx="1">
                  <c:v>48</c:v>
                </c:pt>
                <c:pt idx="2">
                  <c:v>29</c:v>
                </c:pt>
                <c:pt idx="3">
                  <c:v>40</c:v>
                </c:pt>
                <c:pt idx="4">
                  <c:v>14</c:v>
                </c:pt>
                <c:pt idx="5">
                  <c:v>21</c:v>
                </c:pt>
                <c:pt idx="6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Барианы үнэлгээ 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Дуулах </c:v>
                </c:pt>
                <c:pt idx="1">
                  <c:v>Бүжиглэх </c:v>
                </c:pt>
                <c:pt idx="2">
                  <c:v>Жүжиглэх </c:v>
                </c:pt>
                <c:pt idx="3">
                  <c:v>Зурах </c:v>
                </c:pt>
                <c:pt idx="4">
                  <c:v>Хөгжимдөх</c:v>
                </c:pt>
                <c:pt idx="5">
                  <c:v>Даам </c:v>
                </c:pt>
                <c:pt idx="6">
                  <c:v>Сэтгэн бодох 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71</c:v>
                </c:pt>
                <c:pt idx="1">
                  <c:v>66</c:v>
                </c:pt>
                <c:pt idx="2">
                  <c:v>43</c:v>
                </c:pt>
                <c:pt idx="3">
                  <c:v>71</c:v>
                </c:pt>
                <c:pt idx="4">
                  <c:v>29</c:v>
                </c:pt>
                <c:pt idx="5">
                  <c:v>68</c:v>
                </c:pt>
                <c:pt idx="6">
                  <c:v>62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Ахиц,амжилт 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Дуулах </c:v>
                </c:pt>
                <c:pt idx="1">
                  <c:v>Бүжиглэх </c:v>
                </c:pt>
                <c:pt idx="2">
                  <c:v>Жүжиглэх </c:v>
                </c:pt>
                <c:pt idx="3">
                  <c:v>Зурах </c:v>
                </c:pt>
                <c:pt idx="4">
                  <c:v>Хөгжимдөх</c:v>
                </c:pt>
                <c:pt idx="5">
                  <c:v>Даам </c:v>
                </c:pt>
                <c:pt idx="6">
                  <c:v>Сэтгэн бодох 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16</c:v>
                </c:pt>
                <c:pt idx="1">
                  <c:v>18</c:v>
                </c:pt>
                <c:pt idx="2">
                  <c:v>20</c:v>
                </c:pt>
                <c:pt idx="3">
                  <c:v>31</c:v>
                </c:pt>
                <c:pt idx="4">
                  <c:v>14</c:v>
                </c:pt>
                <c:pt idx="5">
                  <c:v>47</c:v>
                </c:pt>
                <c:pt idx="6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5210832"/>
        <c:axId val="364161416"/>
      </c:barChart>
      <c:catAx>
        <c:axId val="425210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64161416"/>
        <c:crosses val="autoZero"/>
        <c:auto val="1"/>
        <c:lblAlgn val="ctr"/>
        <c:lblOffset val="100"/>
        <c:noMultiLvlLbl val="0"/>
      </c:catAx>
      <c:valAx>
        <c:axId val="364161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252108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ENKHJARGAL</cp:lastModifiedBy>
  <cp:revision>8</cp:revision>
  <dcterms:created xsi:type="dcterms:W3CDTF">2019-05-13T17:45:00Z</dcterms:created>
  <dcterms:modified xsi:type="dcterms:W3CDTF">2019-05-13T09:32:00Z</dcterms:modified>
</cp:coreProperties>
</file>